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70FD" w14:textId="77777777" w:rsidR="00094282" w:rsidRPr="007D0ED3" w:rsidRDefault="007D0ED3" w:rsidP="007D0ED3">
      <w:pPr>
        <w:ind w:left="5659" w:firstLine="713"/>
        <w:rPr>
          <w:rFonts w:ascii="Times New Roman" w:hAnsi="Times New Roman" w:cs="Times New Roman"/>
          <w:u w:val="single"/>
        </w:rPr>
      </w:pPr>
      <w:r w:rsidRPr="007D0ED3">
        <w:rPr>
          <w:rFonts w:ascii="Times New Roman" w:hAnsi="Times New Roman" w:cs="Times New Roman"/>
          <w:u w:val="single"/>
        </w:rPr>
        <w:t>p</w:t>
      </w:r>
      <w:r w:rsidR="00847CCE" w:rsidRPr="007D0ED3">
        <w:rPr>
          <w:rFonts w:ascii="Times New Roman" w:hAnsi="Times New Roman" w:cs="Times New Roman"/>
          <w:u w:val="single"/>
        </w:rPr>
        <w:t>rojekt z dnia 1</w:t>
      </w:r>
      <w:r w:rsidRPr="007D0ED3">
        <w:rPr>
          <w:rFonts w:ascii="Times New Roman" w:hAnsi="Times New Roman" w:cs="Times New Roman"/>
          <w:u w:val="single"/>
        </w:rPr>
        <w:t>6</w:t>
      </w:r>
      <w:r w:rsidR="00847CCE" w:rsidRPr="007D0ED3">
        <w:rPr>
          <w:rFonts w:ascii="Times New Roman" w:hAnsi="Times New Roman" w:cs="Times New Roman"/>
          <w:u w:val="single"/>
        </w:rPr>
        <w:t>.03.2026</w:t>
      </w:r>
      <w:r w:rsidRPr="007D0ED3">
        <w:rPr>
          <w:rFonts w:ascii="Times New Roman" w:hAnsi="Times New Roman" w:cs="Times New Roman"/>
          <w:u w:val="single"/>
        </w:rPr>
        <w:t xml:space="preserve"> r.</w:t>
      </w:r>
      <w:r w:rsidR="00847CCE" w:rsidRPr="007D0ED3">
        <w:rPr>
          <w:rFonts w:ascii="Times New Roman" w:hAnsi="Times New Roman" w:cs="Times New Roman"/>
          <w:u w:val="single"/>
        </w:rPr>
        <w:t xml:space="preserve"> </w:t>
      </w:r>
    </w:p>
    <w:p w14:paraId="4CD46CB5" w14:textId="77777777" w:rsidR="007D0ED3" w:rsidRPr="00E63B5C" w:rsidRDefault="00847CCE" w:rsidP="00E63B5C">
      <w:pPr>
        <w:spacing w:line="360" w:lineRule="auto"/>
        <w:ind w:left="-5"/>
        <w:jc w:val="center"/>
        <w:rPr>
          <w:rFonts w:ascii="Times New Roman" w:hAnsi="Times New Roman" w:cs="Times New Roman"/>
          <w:b/>
        </w:rPr>
      </w:pPr>
      <w:r w:rsidRPr="00E63B5C">
        <w:rPr>
          <w:rFonts w:ascii="Times New Roman" w:hAnsi="Times New Roman" w:cs="Times New Roman"/>
          <w:b/>
        </w:rPr>
        <w:t xml:space="preserve">Ustawa </w:t>
      </w:r>
    </w:p>
    <w:p w14:paraId="0C5B2A95" w14:textId="77777777" w:rsidR="007D0ED3" w:rsidRPr="00E63B5C" w:rsidRDefault="00847CCE" w:rsidP="00E63B5C">
      <w:pPr>
        <w:spacing w:line="360" w:lineRule="auto"/>
        <w:ind w:left="-5"/>
        <w:jc w:val="center"/>
        <w:rPr>
          <w:rFonts w:ascii="Times New Roman" w:hAnsi="Times New Roman" w:cs="Times New Roman"/>
        </w:rPr>
      </w:pPr>
      <w:r w:rsidRPr="00E63B5C">
        <w:rPr>
          <w:rFonts w:ascii="Times New Roman" w:hAnsi="Times New Roman" w:cs="Times New Roman"/>
        </w:rPr>
        <w:t>z dnia………………</w:t>
      </w:r>
      <w:r w:rsidR="007D0ED3" w:rsidRPr="00E63B5C">
        <w:rPr>
          <w:rFonts w:ascii="Times New Roman" w:hAnsi="Times New Roman" w:cs="Times New Roman"/>
        </w:rPr>
        <w:t>2026 r.</w:t>
      </w:r>
    </w:p>
    <w:p w14:paraId="207D4CE7" w14:textId="77777777" w:rsidR="00094282" w:rsidRPr="00E63B5C" w:rsidRDefault="00847CCE" w:rsidP="00E63B5C">
      <w:pPr>
        <w:spacing w:line="360" w:lineRule="auto"/>
        <w:ind w:left="-5"/>
        <w:jc w:val="center"/>
        <w:rPr>
          <w:rFonts w:ascii="Times New Roman" w:hAnsi="Times New Roman" w:cs="Times New Roman"/>
          <w:b/>
        </w:rPr>
      </w:pPr>
      <w:r w:rsidRPr="00E63B5C">
        <w:rPr>
          <w:rFonts w:ascii="Times New Roman" w:hAnsi="Times New Roman" w:cs="Times New Roman"/>
          <w:b/>
        </w:rPr>
        <w:t>o zmianie ustawy o imprezach turystycznych i powiązanych usługach turystycznych</w:t>
      </w:r>
    </w:p>
    <w:p w14:paraId="01FC0B4B" w14:textId="77777777" w:rsidR="00094282" w:rsidRPr="00E63B5C" w:rsidRDefault="00847CCE" w:rsidP="00E63B5C">
      <w:pPr>
        <w:spacing w:after="183" w:line="360" w:lineRule="auto"/>
        <w:ind w:left="0" w:firstLine="0"/>
        <w:jc w:val="left"/>
        <w:rPr>
          <w:rFonts w:ascii="Times New Roman" w:hAnsi="Times New Roman" w:cs="Times New Roman"/>
        </w:rPr>
      </w:pPr>
      <w:r w:rsidRPr="00E63B5C">
        <w:rPr>
          <w:rFonts w:ascii="Times New Roman" w:hAnsi="Times New Roman" w:cs="Times New Roman"/>
        </w:rPr>
        <w:t xml:space="preserve"> </w:t>
      </w:r>
    </w:p>
    <w:p w14:paraId="3D49F9C3" w14:textId="77777777" w:rsidR="00094282" w:rsidRPr="00E63B5C" w:rsidRDefault="00DD680F" w:rsidP="00E63B5C">
      <w:pPr>
        <w:spacing w:line="360" w:lineRule="auto"/>
        <w:ind w:left="-5"/>
        <w:rPr>
          <w:rFonts w:ascii="Times New Roman" w:hAnsi="Times New Roman" w:cs="Times New Roman"/>
        </w:rPr>
      </w:pPr>
      <w:r w:rsidRPr="00E63B5C">
        <w:rPr>
          <w:rFonts w:ascii="Times New Roman" w:hAnsi="Times New Roman" w:cs="Times New Roman"/>
          <w:b/>
        </w:rPr>
        <w:t xml:space="preserve"> </w:t>
      </w:r>
      <w:r w:rsidR="007D0ED3" w:rsidRPr="00E63B5C">
        <w:rPr>
          <w:rFonts w:ascii="Times New Roman" w:hAnsi="Times New Roman" w:cs="Times New Roman"/>
          <w:b/>
        </w:rPr>
        <w:t>Art. 1.</w:t>
      </w:r>
      <w:r w:rsidR="007D0ED3" w:rsidRPr="00E63B5C">
        <w:rPr>
          <w:rFonts w:ascii="Times New Roman" w:hAnsi="Times New Roman" w:cs="Times New Roman"/>
        </w:rPr>
        <w:t xml:space="preserve"> </w:t>
      </w:r>
      <w:r w:rsidR="00847CCE" w:rsidRPr="00E63B5C">
        <w:rPr>
          <w:rFonts w:ascii="Times New Roman" w:hAnsi="Times New Roman" w:cs="Times New Roman"/>
        </w:rPr>
        <w:t xml:space="preserve">W ustawie z dnia 24 listopada 2017 r. o imprezach turystycznych i powiązanych usługach turystycznych po art. 47 wprowadza się art. 47a w następującym brzmieniu: </w:t>
      </w:r>
    </w:p>
    <w:p w14:paraId="59FF8C8D" w14:textId="77777777" w:rsidR="00094282" w:rsidRPr="00E63B5C" w:rsidRDefault="007D0ED3" w:rsidP="00E63B5C">
      <w:pPr>
        <w:spacing w:line="360" w:lineRule="auto"/>
        <w:ind w:left="-5"/>
        <w:rPr>
          <w:rFonts w:ascii="Times New Roman" w:hAnsi="Times New Roman" w:cs="Times New Roman"/>
        </w:rPr>
      </w:pPr>
      <w:r w:rsidRPr="00061CAC">
        <w:rPr>
          <w:rFonts w:ascii="Times New Roman" w:hAnsi="Times New Roman" w:cs="Times New Roman"/>
        </w:rPr>
        <w:t>„</w:t>
      </w:r>
      <w:r w:rsidR="00847CCE" w:rsidRPr="00061CAC">
        <w:rPr>
          <w:rFonts w:ascii="Times New Roman" w:hAnsi="Times New Roman" w:cs="Times New Roman"/>
        </w:rPr>
        <w:t>Art. 47a. 1.</w:t>
      </w:r>
      <w:r w:rsidR="00847CCE" w:rsidRPr="00E63B5C">
        <w:rPr>
          <w:rFonts w:ascii="Times New Roman" w:hAnsi="Times New Roman" w:cs="Times New Roman"/>
        </w:rPr>
        <w:t xml:space="preserve"> Odstąpienie od umowy w trybie określonym w art. 47 ust. 4 lub rozwiązanie przez organizatora turystyki umowy o udział w imprezie turystycznej w trybie określonym w art. 47 ust. 5 pkt 2, które to odstąpienie od umowy lub rozwiązanie umowy pozostaje w bezpośrednim związku z nadzwyczajnymi i nieuniknionymi okolicznościami uznanymi na podstawie art. 15kc ust. 14 i 14a ustawy z dnia 2 marca 2020 r. o szczególnych rozwiązaniach związanych z zapobieganiem, przeciwdziałaniem i zwalczaniem COVID- 19, innych chorób zakaźnych oraz wywołanych nimi sytuacji kryzysowych (Dz. U. z 2025 r. poz. 764 i 1806 oraz z 2026 r. poz. 39) nie jest skuteczne w przypadku wyrażenia przez podróżnego zgody na otrzymanie w zamian od organizatora turystyki vouchera do realizacji na poczet przyszłych imprez turystycznych w ciągu 2 lat od dnia, w którym miała się odbyć impreza turystyczna.  </w:t>
      </w:r>
    </w:p>
    <w:p w14:paraId="3BBFDE7B" w14:textId="77777777" w:rsidR="00094282" w:rsidRPr="00E63B5C" w:rsidRDefault="00847CCE" w:rsidP="0020231D">
      <w:pPr>
        <w:pStyle w:val="Akapitzlist"/>
        <w:numPr>
          <w:ilvl w:val="0"/>
          <w:numId w:val="9"/>
        </w:numPr>
        <w:spacing w:line="360" w:lineRule="auto"/>
        <w:rPr>
          <w:rFonts w:ascii="Times New Roman" w:hAnsi="Times New Roman" w:cs="Times New Roman"/>
        </w:rPr>
      </w:pPr>
      <w:r w:rsidRPr="00E63B5C">
        <w:rPr>
          <w:rFonts w:ascii="Times New Roman" w:hAnsi="Times New Roman" w:cs="Times New Roman"/>
        </w:rPr>
        <w:t xml:space="preserve">Wartość vouchera, o którym mowa w ust. 1, nie może być niższa niż kwota wpłacona na poczet realizacji dotychczasowej umowy o imprezę turystyczną.  </w:t>
      </w:r>
    </w:p>
    <w:p w14:paraId="4AC6E5AE" w14:textId="77777777" w:rsidR="00094282" w:rsidRPr="0020231D" w:rsidRDefault="00847CCE" w:rsidP="0020231D">
      <w:pPr>
        <w:pStyle w:val="Akapitzlist"/>
        <w:numPr>
          <w:ilvl w:val="0"/>
          <w:numId w:val="9"/>
        </w:numPr>
        <w:spacing w:line="360" w:lineRule="auto"/>
        <w:rPr>
          <w:rFonts w:ascii="Times New Roman" w:hAnsi="Times New Roman" w:cs="Times New Roman"/>
        </w:rPr>
      </w:pPr>
      <w:r w:rsidRPr="0020231D">
        <w:rPr>
          <w:rFonts w:ascii="Times New Roman" w:hAnsi="Times New Roman" w:cs="Times New Roman"/>
        </w:rPr>
        <w:t>Środki odpowiadające wpłatom na poczet realizacji umów o imprezy turystyczne, w stosunku do których zastosowanie znajdzie ust. 1, są objęte zabezpieczeniem finansowym organizatora turystyki, o którym mowa w art. 7 ust. 2 ustawy z dnia 24 listopada 2017 r. o imprezach turystycznych i powiązanych usługach turystycznych, obowiązującym w dniu zawarcia dotychczasowej umowy o udział w imprezie turystycznej.</w:t>
      </w:r>
      <w:r w:rsidR="00DD680F" w:rsidRPr="0020231D">
        <w:rPr>
          <w:rFonts w:ascii="Times New Roman" w:hAnsi="Times New Roman" w:cs="Times New Roman"/>
        </w:rPr>
        <w:t>”.</w:t>
      </w:r>
    </w:p>
    <w:p w14:paraId="4B662B9D" w14:textId="3F7B5743" w:rsidR="00DD680F" w:rsidRPr="00E63B5C" w:rsidRDefault="00DD680F" w:rsidP="00E63B5C">
      <w:pPr>
        <w:pStyle w:val="ARTartustawynprozporzdzenia"/>
        <w:ind w:firstLine="0"/>
        <w:rPr>
          <w:rStyle w:val="Ppogrubienie"/>
          <w:rFonts w:ascii="Times New Roman" w:hAnsi="Times New Roman" w:cs="Times New Roman"/>
        </w:rPr>
      </w:pPr>
      <w:r w:rsidRPr="00E63B5C">
        <w:rPr>
          <w:rStyle w:val="Ppogrubienie"/>
          <w:rFonts w:ascii="Times New Roman" w:hAnsi="Times New Roman" w:cs="Times New Roman"/>
        </w:rPr>
        <w:t>Art. </w:t>
      </w:r>
      <w:r w:rsidR="00061CAC">
        <w:rPr>
          <w:rStyle w:val="Ppogrubienie"/>
          <w:rFonts w:ascii="Times New Roman" w:hAnsi="Times New Roman" w:cs="Times New Roman"/>
        </w:rPr>
        <w:t>2</w:t>
      </w:r>
      <w:r w:rsidRPr="00E63B5C">
        <w:rPr>
          <w:rStyle w:val="Ppogrubienie"/>
          <w:rFonts w:ascii="Times New Roman" w:hAnsi="Times New Roman" w:cs="Times New Roman"/>
        </w:rPr>
        <w:t>. </w:t>
      </w:r>
      <w:r w:rsidRPr="00E63B5C">
        <w:rPr>
          <w:rFonts w:ascii="Times New Roman" w:hAnsi="Times New Roman" w:cs="Times New Roman"/>
        </w:rPr>
        <w:t>Ustawa wchodzi w życie w dniu następującym po dniu ogłoszenia.</w:t>
      </w:r>
    </w:p>
    <w:p w14:paraId="29A3F2FD" w14:textId="77777777" w:rsidR="00DD680F" w:rsidRDefault="00DD680F" w:rsidP="00853F5D">
      <w:pPr>
        <w:ind w:left="0" w:firstLine="0"/>
        <w:rPr>
          <w:rFonts w:ascii="Times New Roman" w:hAnsi="Times New Roman" w:cs="Times New Roman"/>
        </w:rPr>
      </w:pPr>
    </w:p>
    <w:p w14:paraId="11AD9C4B" w14:textId="77777777" w:rsidR="00E63B5C" w:rsidRPr="00E63B5C" w:rsidRDefault="00E63B5C" w:rsidP="00E63B5C">
      <w:pPr>
        <w:spacing w:after="160" w:line="360" w:lineRule="auto"/>
        <w:ind w:left="0" w:firstLine="0"/>
        <w:jc w:val="center"/>
        <w:rPr>
          <w:rFonts w:ascii="Times New Roman" w:eastAsia="Aptos" w:hAnsi="Times New Roman" w:cs="Times New Roman"/>
          <w:b/>
          <w:bCs/>
          <w:color w:val="auto"/>
          <w:kern w:val="2"/>
          <w:szCs w:val="24"/>
          <w:lang w:eastAsia="en-US"/>
          <w14:ligatures w14:val="standardContextual"/>
        </w:rPr>
      </w:pPr>
      <w:r w:rsidRPr="00E63B5C">
        <w:rPr>
          <w:rFonts w:ascii="Times New Roman" w:eastAsia="Aptos" w:hAnsi="Times New Roman" w:cs="Times New Roman"/>
          <w:b/>
          <w:bCs/>
          <w:kern w:val="2"/>
          <w:szCs w:val="24"/>
          <w:lang w:eastAsia="en-US"/>
          <w14:ligatures w14:val="standardContextual"/>
        </w:rPr>
        <w:t>Uzasadnienie</w:t>
      </w:r>
    </w:p>
    <w:p w14:paraId="4C51AE8E" w14:textId="77777777" w:rsidR="00E63B5C" w:rsidRPr="00E63B5C" w:rsidRDefault="00E63B5C" w:rsidP="00E63B5C">
      <w:pPr>
        <w:numPr>
          <w:ilvl w:val="0"/>
          <w:numId w:val="2"/>
        </w:numPr>
        <w:autoSpaceDN w:val="0"/>
        <w:spacing w:after="160" w:line="360" w:lineRule="auto"/>
        <w:contextualSpacing/>
        <w:jc w:val="left"/>
        <w:rPr>
          <w:rFonts w:ascii="Times New Roman" w:eastAsia="Aptos" w:hAnsi="Times New Roman" w:cs="Times New Roman"/>
          <w:b/>
          <w:bCs/>
          <w:kern w:val="2"/>
          <w:szCs w:val="24"/>
          <w:lang w:eastAsia="en-US"/>
          <w14:ligatures w14:val="standardContextual"/>
        </w:rPr>
      </w:pPr>
      <w:r w:rsidRPr="00E63B5C">
        <w:rPr>
          <w:rFonts w:ascii="Times New Roman" w:eastAsia="Aptos" w:hAnsi="Times New Roman" w:cs="Times New Roman"/>
          <w:b/>
          <w:bCs/>
          <w:kern w:val="2"/>
          <w:szCs w:val="24"/>
          <w:lang w:eastAsia="en-US"/>
          <w14:ligatures w14:val="standardContextual"/>
        </w:rPr>
        <w:t>Potrzeba i Cel Regulacji</w:t>
      </w:r>
    </w:p>
    <w:p w14:paraId="74A25819" w14:textId="77777777" w:rsidR="00E63B5C" w:rsidRPr="00E63B5C" w:rsidRDefault="00E63B5C" w:rsidP="00E63B5C">
      <w:pPr>
        <w:spacing w:line="360" w:lineRule="auto"/>
        <w:rPr>
          <w:rFonts w:ascii="Times New Roman" w:hAnsi="Times New Roman" w:cs="Times New Roman"/>
          <w:szCs w:val="24"/>
        </w:rPr>
      </w:pPr>
      <w:r w:rsidRPr="00E63B5C">
        <w:rPr>
          <w:rFonts w:ascii="Times New Roman" w:hAnsi="Times New Roman" w:cs="Times New Roman"/>
          <w:szCs w:val="24"/>
        </w:rPr>
        <w:lastRenderedPageBreak/>
        <w:t>W związku z sytuacją na Bliskim Wschodu i wybuchem wojny w dniu 28 lutego 2026 r. na terenie Iranu ruch turystyczny w tym kierunku uległ poważnym zakłóceniom. Wstępne szacunki zakładały, że ponad 15000 obywateli RP wymagało pilnej ewakuacji z terenów objętych czynnym konfliktem zbrojnym. Czynnikiem utrudniającym przeprowadzenie działań związanych z zapewnieniem powrotu do Polski utrudniał fakt wstrzymania ruchu lotniczego z większości portów na terenie Bliskiego Wschodu. Sytuacja od pierwszego dnia konfliktu spowodowała konkretne i wymierne obciążenie organizatorów turystyki kosztami dalszego zakwaterowania podróżnych, a także obowiązkiem pokrycia kosztów alternatywnego powrotu podróżnych do kraju. Dynamiczna sytuacja na Bliskim Wschodzie wywołała ponadto falę odstąpień od umów ze strony podróżnych, których imprezy z destynacją w krajach Zatoki Perskiej. Sytuacja objęła imprezy turystyczne, zarówno które miały się dopiero rozpocząć, jak i te ale z odległymi terminami realizacji. Z perspektywy organizatorów turystyki skuteczne i uzasadnione nieuniknionymi i nadzwyczajnymi okolicznościami odstąpienie od umowy o udział w imprezie turystycznej skutkuje koniecznością zwrotu  podróżnemu środków z tytułu zawartej umowy w terminie 14 dni od złożenia oświadczenia od odstąpieniu. Biorąc pod uwagę skalę zjawiska oraz podobne doświadczenia z okresu epidemii Covid-19 konieczne było przedsięwzięcie środków zaradczych w zakresie utrzymania płynności finansowej przedsiębiorców turystycznych.</w:t>
      </w:r>
    </w:p>
    <w:p w14:paraId="131AA11C" w14:textId="77777777" w:rsidR="00E63B5C" w:rsidRPr="00E63B5C" w:rsidRDefault="00E63B5C" w:rsidP="00E63B5C">
      <w:pPr>
        <w:autoSpaceDN w:val="0"/>
        <w:spacing w:after="160" w:line="360" w:lineRule="auto"/>
        <w:contextualSpacing/>
        <w:jc w:val="left"/>
        <w:rPr>
          <w:rFonts w:ascii="Times New Roman" w:eastAsia="Aptos" w:hAnsi="Times New Roman" w:cs="Times New Roman"/>
          <w:b/>
          <w:bCs/>
          <w:kern w:val="2"/>
          <w:szCs w:val="24"/>
          <w:lang w:eastAsia="en-US"/>
          <w14:ligatures w14:val="standardContextual"/>
        </w:rPr>
      </w:pPr>
    </w:p>
    <w:p w14:paraId="7FA3638B" w14:textId="77777777" w:rsidR="00E63B5C" w:rsidRPr="00E63B5C" w:rsidRDefault="00E63B5C" w:rsidP="00E63B5C">
      <w:pPr>
        <w:numPr>
          <w:ilvl w:val="0"/>
          <w:numId w:val="2"/>
        </w:numPr>
        <w:autoSpaceDN w:val="0"/>
        <w:spacing w:after="160" w:line="360" w:lineRule="auto"/>
        <w:contextualSpacing/>
        <w:jc w:val="left"/>
        <w:rPr>
          <w:rFonts w:ascii="Times New Roman" w:eastAsia="Aptos" w:hAnsi="Times New Roman" w:cs="Times New Roman"/>
          <w:b/>
          <w:bCs/>
          <w:color w:val="auto"/>
          <w:kern w:val="2"/>
          <w:szCs w:val="24"/>
          <w:lang w:eastAsia="en-US"/>
          <w14:ligatures w14:val="standardContextual"/>
        </w:rPr>
      </w:pPr>
      <w:r w:rsidRPr="00E63B5C">
        <w:rPr>
          <w:rFonts w:ascii="Times New Roman" w:eastAsia="Aptos" w:hAnsi="Times New Roman" w:cs="Times New Roman"/>
          <w:b/>
          <w:bCs/>
          <w:kern w:val="2"/>
          <w:szCs w:val="24"/>
          <w:lang w:eastAsia="en-US"/>
          <w14:ligatures w14:val="standardContextual"/>
        </w:rPr>
        <w:t>Stan faktyczny oraz prawny</w:t>
      </w:r>
    </w:p>
    <w:p w14:paraId="3A2ECA6D" w14:textId="77777777" w:rsidR="00E63B5C" w:rsidRPr="00E63B5C" w:rsidRDefault="00E63B5C" w:rsidP="00E63B5C">
      <w:pPr>
        <w:autoSpaceDN w:val="0"/>
        <w:spacing w:after="160" w:line="360" w:lineRule="auto"/>
        <w:contextualSpacing/>
        <w:jc w:val="left"/>
        <w:rPr>
          <w:rFonts w:ascii="Times New Roman" w:eastAsia="Aptos" w:hAnsi="Times New Roman" w:cs="Times New Roman"/>
          <w:b/>
          <w:bCs/>
          <w:color w:val="auto"/>
          <w:kern w:val="2"/>
          <w:szCs w:val="24"/>
          <w:lang w:eastAsia="en-US"/>
          <w14:ligatures w14:val="standardContextual"/>
        </w:rPr>
      </w:pPr>
    </w:p>
    <w:p w14:paraId="3018860D" w14:textId="77777777" w:rsidR="00E63B5C" w:rsidRPr="00E63B5C" w:rsidRDefault="00E63B5C" w:rsidP="00E63B5C">
      <w:pPr>
        <w:spacing w:line="360" w:lineRule="auto"/>
        <w:rPr>
          <w:rFonts w:ascii="Times New Roman" w:hAnsi="Times New Roman" w:cs="Times New Roman"/>
          <w:szCs w:val="24"/>
        </w:rPr>
      </w:pPr>
      <w:r w:rsidRPr="00E63B5C">
        <w:rPr>
          <w:rFonts w:ascii="Times New Roman" w:hAnsi="Times New Roman" w:cs="Times New Roman"/>
          <w:szCs w:val="24"/>
        </w:rPr>
        <w:t xml:space="preserve">W związku z poważnymi zakłóceniami ruchu turystycznego w kierunku Bliskiego Wschodu w dniu 4 marca br. Minister Sportu i Turystyki oraz Minister Finansów i Gospodarki we wspólnym komunikacie uznali, że </w:t>
      </w:r>
      <w:r w:rsidRPr="00E63B5C">
        <w:rPr>
          <w:rFonts w:ascii="Times New Roman" w:hAnsi="Times New Roman" w:cs="Times New Roman"/>
          <w:shd w:val="clear" w:color="auto" w:fill="FFFFFF"/>
        </w:rPr>
        <w:t xml:space="preserve">na terytorium następujących państw tj.: </w:t>
      </w:r>
      <w:r w:rsidRPr="00E63B5C">
        <w:rPr>
          <w:rFonts w:ascii="Times New Roman" w:hAnsi="Times New Roman" w:cs="Times New Roman"/>
        </w:rPr>
        <w:t xml:space="preserve">Arabia Saudyjska, Bahrajn, Iran, Izrael, Jordania, Katar, Kuwejt, Liban, Oman, Palestyna, Zjednoczone Emiraty Arabskie </w:t>
      </w:r>
      <w:r w:rsidRPr="00E63B5C">
        <w:rPr>
          <w:rFonts w:ascii="Times New Roman" w:hAnsi="Times New Roman" w:cs="Times New Roman"/>
          <w:szCs w:val="24"/>
        </w:rPr>
        <w:t>wystąpiły nieuniknione i nadzwyczajne okoliczności, które umożliwiają uruchomienie wypłat dla podróżnych ze środków Turystycznego Funduszu Pomocowego (TFP). Komunikat określił wymogi, których spełnienie obliguje wypłatę środków podróżnemu (np. określona destynacja imprezy turystycznej, daty graniczne rozpoczęcia imprezy turystycznej, czy też termin na złożenie wniosków przez podróżnego i organizatora turystyki. Należy wskazać, że ogólne wymogi uruchomienia wypłat zostały określone w ustawie powołującej Turystyczny Fundusz Pomocowy tj. w ustawie</w:t>
      </w:r>
      <w:r w:rsidRPr="00E63B5C">
        <w:rPr>
          <w:rFonts w:ascii="Times New Roman" w:hAnsi="Times New Roman" w:cs="Times New Roman"/>
          <w:color w:val="333333"/>
          <w:szCs w:val="24"/>
          <w:shd w:val="clear" w:color="auto" w:fill="FFFFFF"/>
        </w:rPr>
        <w:t xml:space="preserve"> o szczególnych rozwiązaniach związanych z zapobieganiem, przeciwdziałaniem i zwalczaniem COVID-19, innych chorób </w:t>
      </w:r>
      <w:r w:rsidRPr="00E63B5C">
        <w:rPr>
          <w:rFonts w:ascii="Times New Roman" w:hAnsi="Times New Roman" w:cs="Times New Roman"/>
          <w:color w:val="333333"/>
          <w:szCs w:val="24"/>
          <w:shd w:val="clear" w:color="auto" w:fill="FFFFFF"/>
        </w:rPr>
        <w:lastRenderedPageBreak/>
        <w:t>zakaźnych oraz wywołanych nimi sytuacji kryzysowych</w:t>
      </w:r>
      <w:r w:rsidRPr="00E63B5C">
        <w:rPr>
          <w:rFonts w:ascii="Times New Roman" w:hAnsi="Times New Roman" w:cs="Times New Roman"/>
          <w:szCs w:val="24"/>
        </w:rPr>
        <w:t xml:space="preserve"> (art. 15kc). Wypłata środków z TFP obejmuje wszystkie wpłacone przez podróżnego należności z tytułu imprezy turystycznej, która się nie odbyła, lub która się nie odbędzie z powodu wystąpienia nieuniknionych i nadzwyczajnych okoliczności w miejscu destynacji. Jednocześnie należy podkreślić, że spłata należności podróżnych środkami TFP, rodzi po stronie organizatora turystyki obowiązek zwrotu tych środków do Funduszu w przeciągu 6 lat. Oczywiście w odniesieniu do sytuacji kryzysowych skorzystanie przez organizatora turystyki z wypłat środków z TFP ogranicza w pewnym stopniu groźbę utraty płynności finansowej, jednakże obciąża długoletnimi skutkami zobowiązaniowymi względem Funduszu. </w:t>
      </w:r>
    </w:p>
    <w:p w14:paraId="37DB5B05" w14:textId="77777777" w:rsidR="00E63B5C" w:rsidRPr="00E63B5C" w:rsidRDefault="00E63B5C" w:rsidP="00E63B5C">
      <w:pPr>
        <w:spacing w:line="360" w:lineRule="auto"/>
        <w:rPr>
          <w:rFonts w:ascii="Times New Roman" w:hAnsi="Times New Roman" w:cs="Times New Roman"/>
          <w:szCs w:val="24"/>
        </w:rPr>
      </w:pPr>
      <w:r w:rsidRPr="00E63B5C">
        <w:rPr>
          <w:rFonts w:ascii="Times New Roman" w:hAnsi="Times New Roman" w:cs="Times New Roman"/>
          <w:szCs w:val="24"/>
        </w:rPr>
        <w:t>Doświadczenia po poprzednim tak doniosłym w skutkach kryzysie na rynku usług turystycznych (epidemia Covid-19) pokazały, że wielu z podróżnych, którzy wybrali konkretny cel podróży oraz pokryli wszelkie koszty imprezy, która nie mogła się odbyć byli zaineresowani, nie tyle natychmiastowym zwrotem środków (w skutek ich wypłaty przez organizatora turystyki lub w ramach wypłaty z TFP), a uzyskaniem możliwości zrealizowania imprezy turystycznej w pierwotnie zakładanej destynacji ale w innym, bezpieczniejszym terminie. Te wnioski zachęciły właśnie ustawodawcę w 2020 r. do wprowadzenia czasowej możliwości skorzystania przez organizatora turystyki oraz podróżnego z instytucji vouchera. Zgodnie z twierdzeniami przedstawicieli branży turystycznej, jak i samych podróżnych było to rozwiązanie satysfakcjonujące. Należy wskazać, że aktualne, kryzysowe warunki dla prowadzenia działalności organizatora turystyki, szczególnie zorientowanego na organizację imprez w krajach Zatoki Perskiej, uzasadniają ponowne wprowadzenie do ustawy o imprezach turystycznych i powiązanych usługach turystycznych instytucji vouchera.</w:t>
      </w:r>
    </w:p>
    <w:p w14:paraId="753F8E6D" w14:textId="77777777" w:rsidR="00E63B5C" w:rsidRPr="00E63B5C" w:rsidRDefault="00E63B5C" w:rsidP="00E63B5C">
      <w:pPr>
        <w:autoSpaceDE w:val="0"/>
        <w:autoSpaceDN w:val="0"/>
        <w:adjustRightInd w:val="0"/>
        <w:spacing w:after="0" w:line="360" w:lineRule="auto"/>
        <w:ind w:left="0" w:firstLine="0"/>
        <w:rPr>
          <w:rFonts w:ascii="Times New Roman" w:eastAsiaTheme="minorHAnsi" w:hAnsi="Times New Roman" w:cs="Times New Roman"/>
          <w:szCs w:val="24"/>
          <w:lang w:eastAsia="en-US"/>
        </w:rPr>
      </w:pPr>
      <w:r w:rsidRPr="00E63B5C">
        <w:rPr>
          <w:rFonts w:ascii="Times New Roman" w:eastAsia="Times New Roman" w:hAnsi="Times New Roman" w:cs="Times New Roman"/>
          <w:color w:val="000000" w:themeColor="text1"/>
          <w:kern w:val="2"/>
          <w:szCs w:val="24"/>
          <w:lang w:eastAsia="en-US"/>
        </w:rPr>
        <w:t>Projektowana regulacja umożliwi podróżnemu wybór najbardziej dogodnego dla siebie rozwiązania, natomiast organizatorów turystyki uchroni przed utratą płynności finansowej.</w:t>
      </w:r>
      <w:r w:rsidRPr="00E63B5C">
        <w:rPr>
          <w:rFonts w:ascii="Times New Roman" w:eastAsiaTheme="minorHAnsi" w:hAnsi="Times New Roman" w:cs="Times New Roman"/>
          <w:szCs w:val="24"/>
          <w:lang w:eastAsia="en-US"/>
        </w:rPr>
        <w:t xml:space="preserve"> Wiele umów o imprezy turystyczne, zostanie przeniesionych na przyszłe terminy, a w konsekwencji ma szanse ochronić większość organizatorów turystyki, i rozłożyć w czasie skutki ekonomiczne obecnego kryzysu. Klient będzie mógł skorzystać z propozycji organizatora turystyki do otrzymania vouchera na realizację imprezy turystycznej w przyszłości, w ciągu 2 lat od dnia, w którym miała się odbyć pierwotna impreza turystyczna.  </w:t>
      </w:r>
    </w:p>
    <w:p w14:paraId="2247F3F8" w14:textId="77777777" w:rsidR="00E63B5C" w:rsidRDefault="00E63B5C" w:rsidP="00E63B5C">
      <w:pPr>
        <w:autoSpaceDE w:val="0"/>
        <w:autoSpaceDN w:val="0"/>
        <w:adjustRightInd w:val="0"/>
        <w:spacing w:after="0" w:line="360" w:lineRule="auto"/>
        <w:ind w:left="0" w:firstLine="0"/>
        <w:rPr>
          <w:rFonts w:ascii="Times New Roman" w:eastAsiaTheme="minorHAnsi" w:hAnsi="Times New Roman" w:cs="Times New Roman"/>
          <w:szCs w:val="24"/>
          <w:lang w:eastAsia="en-US"/>
        </w:rPr>
      </w:pPr>
      <w:r w:rsidRPr="00E63B5C">
        <w:rPr>
          <w:rFonts w:ascii="Times New Roman" w:eastAsiaTheme="minorHAnsi" w:hAnsi="Times New Roman" w:cs="Times New Roman"/>
          <w:szCs w:val="24"/>
          <w:lang w:eastAsia="en-US"/>
        </w:rPr>
        <w:t xml:space="preserve">Niezbędną przesłanką w tym zakresie będzie zgoda podróżnego na otrzymanie odpowiedniego vouchera. Przyjęcie przez klienta vouchera nie spowoduje rozwiązania umowy z organizatorem turystyki, dlatego środki wpłacone przez klientów będą podlegały ochronie przed </w:t>
      </w:r>
      <w:r w:rsidRPr="00E63B5C">
        <w:rPr>
          <w:rFonts w:ascii="Times New Roman" w:eastAsiaTheme="minorHAnsi" w:hAnsi="Times New Roman" w:cs="Times New Roman"/>
          <w:szCs w:val="24"/>
          <w:lang w:eastAsia="en-US"/>
        </w:rPr>
        <w:lastRenderedPageBreak/>
        <w:t>niewypłacalnością organizatora turystyki. Voucher ma umożliwić istotną zmianę warunków umowy między stronami poprzez wskazanie np. nowego terminu rozpoczęcia imprezy, alternatywnego tranzytu, czy też innego miejsca destynacji. Dodatkowo, wpłacone przez podróżnego środki nie będą traktowane jako nowe wpłaty klientów, stąd nie znajdzie zastosowania regulacja dotycząca przedpłat na poczet modyfikacji gwarancji ubezpieczeniowych, bankowych czy ubezpieczeń na rzecz klientów przez organizatorów turystyki. Vouchery dla podróżnych będą więc w pełni chronione i umożliwią sprawne przekładanie imprez turystycznych na korzystniejszych warunkach. Zaoferowanie vouchera będzie możliwe tylko w sytuacji związanej z uruchomieniem komunikatu o rozpoczęciu wypłat z Turystycznego Funduszu Pomocowego. To pozwoli na rozsądne traktowanie klientów w sytuacji naprawdę wymagającej nadzwyczajnych działań.</w:t>
      </w:r>
    </w:p>
    <w:p w14:paraId="3D673B0C" w14:textId="77777777" w:rsidR="008450BC" w:rsidRPr="00E63B5C" w:rsidRDefault="008450BC" w:rsidP="00E63B5C">
      <w:pPr>
        <w:autoSpaceDE w:val="0"/>
        <w:autoSpaceDN w:val="0"/>
        <w:adjustRightInd w:val="0"/>
        <w:spacing w:after="0" w:line="360" w:lineRule="auto"/>
        <w:ind w:left="0" w:firstLine="0"/>
        <w:rPr>
          <w:rFonts w:ascii="Times New Roman" w:eastAsia="Aptos" w:hAnsi="Times New Roman" w:cs="Times New Roman"/>
          <w:bCs/>
          <w:color w:val="auto"/>
          <w:kern w:val="2"/>
          <w:szCs w:val="24"/>
          <w:lang w:eastAsia="en-US"/>
          <w14:ligatures w14:val="standardContextual"/>
        </w:rPr>
      </w:pPr>
      <w:r>
        <w:rPr>
          <w:rFonts w:ascii="Times New Roman" w:eastAsia="Aptos" w:hAnsi="Times New Roman" w:cs="Times New Roman"/>
          <w:bCs/>
          <w:color w:val="auto"/>
          <w:kern w:val="2"/>
          <w:szCs w:val="24"/>
          <w:lang w:eastAsia="en-US"/>
          <w14:ligatures w14:val="standardContextual"/>
        </w:rPr>
        <w:t>W związku z dynamiczną sytuacją powodującą po stronie organizatorów turystyki realną groźbę utraty płynności finansowej w ustawie proponuje się skrócenie terminu vacatio legis tj. ustawa powinna wejść w życie w dniu następującym po dniu ogłoszenia.</w:t>
      </w:r>
    </w:p>
    <w:p w14:paraId="3C511FEA" w14:textId="77777777" w:rsidR="00E63B5C" w:rsidRPr="00E63B5C" w:rsidRDefault="00E63B5C" w:rsidP="00E63B5C">
      <w:pPr>
        <w:autoSpaceDN w:val="0"/>
        <w:spacing w:after="160" w:line="360" w:lineRule="auto"/>
        <w:contextualSpacing/>
        <w:jc w:val="left"/>
        <w:rPr>
          <w:rFonts w:ascii="Times New Roman" w:eastAsia="Aptos" w:hAnsi="Times New Roman" w:cs="Times New Roman"/>
          <w:b/>
          <w:bCs/>
          <w:color w:val="auto"/>
          <w:kern w:val="2"/>
          <w:szCs w:val="24"/>
          <w:lang w:eastAsia="en-US"/>
          <w14:ligatures w14:val="standardContextual"/>
        </w:rPr>
      </w:pPr>
    </w:p>
    <w:p w14:paraId="0F4224B5" w14:textId="77777777" w:rsidR="00E63B5C" w:rsidRPr="00E63B5C" w:rsidRDefault="00E63B5C" w:rsidP="00E63B5C">
      <w:pPr>
        <w:numPr>
          <w:ilvl w:val="0"/>
          <w:numId w:val="2"/>
        </w:numPr>
        <w:autoSpaceDN w:val="0"/>
        <w:spacing w:after="160" w:line="360" w:lineRule="auto"/>
        <w:jc w:val="left"/>
        <w:rPr>
          <w:rFonts w:ascii="Times New Roman" w:eastAsia="Times New Roman" w:hAnsi="Times New Roman" w:cs="Times New Roman"/>
          <w:b/>
          <w:bCs/>
          <w:color w:val="auto"/>
          <w:szCs w:val="24"/>
        </w:rPr>
      </w:pPr>
      <w:r w:rsidRPr="00E63B5C">
        <w:rPr>
          <w:rFonts w:ascii="Times New Roman" w:eastAsia="Times New Roman" w:hAnsi="Times New Roman" w:cs="Times New Roman"/>
          <w:b/>
          <w:bCs/>
          <w:szCs w:val="24"/>
        </w:rPr>
        <w:t>Różnice pomiędzy dotychczasowym a projektowanym stanem prawnym</w:t>
      </w:r>
    </w:p>
    <w:p w14:paraId="7786FF47" w14:textId="77777777" w:rsidR="00E63B5C" w:rsidRPr="00E63B5C" w:rsidRDefault="00E63B5C" w:rsidP="00E63B5C">
      <w:pPr>
        <w:tabs>
          <w:tab w:val="left" w:pos="7230"/>
        </w:tabs>
        <w:spacing w:line="360" w:lineRule="auto"/>
        <w:rPr>
          <w:rFonts w:ascii="Times New Roman" w:eastAsia="Times New Roman" w:hAnsi="Times New Roman" w:cs="Times New Roman"/>
          <w:szCs w:val="24"/>
        </w:rPr>
      </w:pPr>
      <w:r w:rsidRPr="00E63B5C">
        <w:rPr>
          <w:rFonts w:ascii="Times New Roman" w:eastAsia="Times New Roman" w:hAnsi="Times New Roman" w:cs="Times New Roman"/>
          <w:szCs w:val="24"/>
        </w:rPr>
        <w:t>Wprowadzenie do ustawy o imprezach turystycznych i powiązanych usługach turystycznych instytucji vouchera jest docelowo alternatywą dla istniejących już aktualnie w systemie prawnym możliwości podjęcia działań przez strony umowy o imprezę turystyczną w sytuacji wystąpienia nieuniknionych i nadzwyczajnych okoliczności tj.:</w:t>
      </w:r>
    </w:p>
    <w:p w14:paraId="10FC4A98" w14:textId="77777777" w:rsidR="00E63B5C" w:rsidRPr="00E63B5C" w:rsidRDefault="00E63B5C" w:rsidP="00E63B5C">
      <w:pPr>
        <w:numPr>
          <w:ilvl w:val="0"/>
          <w:numId w:val="5"/>
        </w:numPr>
        <w:tabs>
          <w:tab w:val="left" w:pos="7230"/>
        </w:tabs>
        <w:spacing w:after="160" w:line="360" w:lineRule="auto"/>
        <w:contextualSpacing/>
        <w:rPr>
          <w:rFonts w:ascii="Times New Roman" w:eastAsia="Times New Roman" w:hAnsi="Times New Roman" w:cs="Times New Roman"/>
          <w:color w:val="auto"/>
          <w:szCs w:val="24"/>
        </w:rPr>
      </w:pPr>
      <w:r w:rsidRPr="00E63B5C">
        <w:rPr>
          <w:rFonts w:ascii="Times New Roman" w:eastAsia="Times New Roman" w:hAnsi="Times New Roman" w:cs="Times New Roman"/>
          <w:color w:val="auto"/>
          <w:szCs w:val="24"/>
        </w:rPr>
        <w:t>możliwości odstąpienia od umowy przez podróżnego lub możliwości rozwiązania umowy przez organizatora turystyki, powiązanych ze zwrotem środków przez organizatora  wpłaconych na poczet imprezy turystycznej (art. 47 ustawy o imprezach turystycznych i powiązanych usługach turystycznych)</w:t>
      </w:r>
    </w:p>
    <w:p w14:paraId="39C6702D" w14:textId="77777777" w:rsidR="00E63B5C" w:rsidRPr="008450BC" w:rsidRDefault="00E63B5C" w:rsidP="00E63B5C">
      <w:pPr>
        <w:numPr>
          <w:ilvl w:val="0"/>
          <w:numId w:val="5"/>
        </w:numPr>
        <w:tabs>
          <w:tab w:val="left" w:pos="7230"/>
        </w:tabs>
        <w:spacing w:after="160" w:line="360" w:lineRule="auto"/>
        <w:contextualSpacing/>
        <w:rPr>
          <w:rFonts w:ascii="Times New Roman" w:eastAsia="Times New Roman" w:hAnsi="Times New Roman" w:cs="Times New Roman"/>
          <w:color w:val="auto"/>
          <w:szCs w:val="24"/>
        </w:rPr>
      </w:pPr>
      <w:r w:rsidRPr="00E63B5C">
        <w:rPr>
          <w:rFonts w:ascii="Times New Roman" w:eastAsia="Times New Roman" w:hAnsi="Times New Roman" w:cs="Times New Roman"/>
          <w:color w:val="auto"/>
          <w:szCs w:val="24"/>
        </w:rPr>
        <w:t xml:space="preserve">możliwości odstąpienia od umowy przez podróżnego lub możliwości rozwiązania umowy przez organizatora turystyki, powiązanych z możliwością wystąpienia przez podróżnego oraz organizatora turystyki z wnioskiem o wypłatę wpłaconych na poczet umowy należności ze środków Turystycznego Funduszu Pomocowego (art. 15kc ustawy </w:t>
      </w:r>
      <w:r w:rsidRPr="00E63B5C">
        <w:rPr>
          <w:rFonts w:ascii="Times New Roman" w:hAnsi="Times New Roman" w:cs="Times New Roman"/>
          <w:color w:val="auto"/>
          <w:szCs w:val="24"/>
          <w:shd w:val="clear" w:color="auto" w:fill="FFFFFF"/>
        </w:rPr>
        <w:t xml:space="preserve"> o szczególnych rozwiązaniach związanych z zapobieganiem, przeciwdziałaniem i zwalczaniem COVID-19, innych chorób zakaźnych oraz wywołanych nimi sytuacji kryzysowych).</w:t>
      </w:r>
    </w:p>
    <w:p w14:paraId="0CCA48B7" w14:textId="77777777" w:rsidR="008450BC" w:rsidRDefault="008450BC" w:rsidP="008450BC">
      <w:pPr>
        <w:tabs>
          <w:tab w:val="left" w:pos="7230"/>
        </w:tabs>
        <w:spacing w:after="160" w:line="360" w:lineRule="auto"/>
        <w:contextualSpacing/>
        <w:rPr>
          <w:rFonts w:ascii="Times New Roman" w:eastAsia="Times New Roman" w:hAnsi="Times New Roman" w:cs="Times New Roman"/>
          <w:color w:val="auto"/>
          <w:szCs w:val="24"/>
        </w:rPr>
      </w:pPr>
    </w:p>
    <w:p w14:paraId="47544A34" w14:textId="77777777" w:rsidR="008450BC" w:rsidRDefault="008450BC" w:rsidP="008450BC">
      <w:pPr>
        <w:tabs>
          <w:tab w:val="left" w:pos="7230"/>
        </w:tabs>
        <w:spacing w:after="160" w:line="360" w:lineRule="auto"/>
        <w:contextualSpacing/>
        <w:rPr>
          <w:rFonts w:ascii="Times New Roman" w:eastAsia="Times New Roman" w:hAnsi="Times New Roman" w:cs="Times New Roman"/>
          <w:color w:val="auto"/>
          <w:szCs w:val="24"/>
        </w:rPr>
      </w:pPr>
    </w:p>
    <w:p w14:paraId="07AF8FCD" w14:textId="77777777" w:rsidR="008450BC" w:rsidRPr="00E63B5C" w:rsidRDefault="008450BC" w:rsidP="008450BC">
      <w:pPr>
        <w:tabs>
          <w:tab w:val="left" w:pos="7230"/>
        </w:tabs>
        <w:spacing w:after="160" w:line="360" w:lineRule="auto"/>
        <w:contextualSpacing/>
        <w:rPr>
          <w:rFonts w:ascii="Times New Roman" w:eastAsia="Times New Roman" w:hAnsi="Times New Roman" w:cs="Times New Roman"/>
          <w:color w:val="auto"/>
          <w:szCs w:val="24"/>
        </w:rPr>
      </w:pPr>
    </w:p>
    <w:p w14:paraId="752C55F4" w14:textId="77777777" w:rsidR="00E63B5C" w:rsidRPr="00E63B5C" w:rsidRDefault="00E63B5C" w:rsidP="00E63B5C">
      <w:pPr>
        <w:tabs>
          <w:tab w:val="left" w:pos="7230"/>
        </w:tabs>
        <w:spacing w:after="160" w:line="360" w:lineRule="auto"/>
        <w:ind w:left="720" w:firstLine="0"/>
        <w:contextualSpacing/>
        <w:rPr>
          <w:rFonts w:ascii="Times New Roman" w:eastAsia="Times New Roman" w:hAnsi="Times New Roman" w:cs="Times New Roman"/>
          <w:color w:val="auto"/>
          <w:szCs w:val="24"/>
        </w:rPr>
      </w:pPr>
    </w:p>
    <w:p w14:paraId="40EA7178" w14:textId="77777777" w:rsidR="00E63B5C" w:rsidRPr="00E63B5C" w:rsidRDefault="00E63B5C" w:rsidP="00E63B5C">
      <w:pPr>
        <w:numPr>
          <w:ilvl w:val="0"/>
          <w:numId w:val="2"/>
        </w:numPr>
        <w:autoSpaceDN w:val="0"/>
        <w:spacing w:after="160" w:line="360" w:lineRule="auto"/>
        <w:jc w:val="left"/>
        <w:rPr>
          <w:rFonts w:ascii="Times New Roman" w:eastAsia="Times New Roman" w:hAnsi="Times New Roman" w:cs="Times New Roman"/>
          <w:b/>
          <w:bCs/>
          <w:color w:val="auto"/>
          <w:szCs w:val="24"/>
        </w:rPr>
      </w:pPr>
      <w:r w:rsidRPr="00E63B5C">
        <w:rPr>
          <w:rFonts w:ascii="Times New Roman" w:eastAsia="Aptos" w:hAnsi="Times New Roman" w:cs="Times New Roman"/>
          <w:b/>
          <w:bCs/>
          <w:kern w:val="2"/>
          <w:szCs w:val="24"/>
          <w:lang w:eastAsia="en-US"/>
          <w14:ligatures w14:val="standardContextual"/>
        </w:rPr>
        <w:t>Przewidywane skutki społeczne, gospodarcze, finansowe i prawne</w:t>
      </w:r>
    </w:p>
    <w:p w14:paraId="7D0FDDEF" w14:textId="77777777" w:rsidR="00E63B5C" w:rsidRPr="00E63B5C" w:rsidRDefault="00E63B5C" w:rsidP="00E63B5C">
      <w:pPr>
        <w:spacing w:after="120" w:line="360" w:lineRule="auto"/>
        <w:rPr>
          <w:rFonts w:ascii="Times New Roman" w:eastAsia="Aptos" w:hAnsi="Times New Roman" w:cs="Times New Roman"/>
          <w:b/>
          <w:bCs/>
          <w:kern w:val="2"/>
          <w:szCs w:val="24"/>
          <w:lang w:eastAsia="en-US"/>
          <w14:ligatures w14:val="standardContextual"/>
        </w:rPr>
      </w:pPr>
      <w:r w:rsidRPr="00E63B5C">
        <w:rPr>
          <w:rFonts w:ascii="Times New Roman" w:eastAsia="Aptos" w:hAnsi="Times New Roman" w:cs="Times New Roman"/>
          <w:b/>
          <w:bCs/>
          <w:kern w:val="2"/>
          <w:szCs w:val="24"/>
          <w:lang w:eastAsia="en-US"/>
          <w14:ligatures w14:val="standardContextual"/>
        </w:rPr>
        <w:t>Skutki społeczne:</w:t>
      </w:r>
    </w:p>
    <w:p w14:paraId="64C215C1" w14:textId="77777777" w:rsidR="00E63B5C" w:rsidRPr="00E63B5C" w:rsidRDefault="00E63B5C" w:rsidP="00E63B5C">
      <w:pPr>
        <w:widowControl w:val="0"/>
        <w:numPr>
          <w:ilvl w:val="0"/>
          <w:numId w:val="6"/>
        </w:numPr>
        <w:tabs>
          <w:tab w:val="left" w:pos="7230"/>
        </w:tabs>
        <w:autoSpaceDE w:val="0"/>
        <w:autoSpaceDN w:val="0"/>
        <w:adjustRightInd w:val="0"/>
        <w:spacing w:before="113" w:after="0" w:line="360" w:lineRule="auto"/>
        <w:contextualSpacing/>
        <w:rPr>
          <w:rFonts w:ascii="Times New Roman" w:eastAsiaTheme="minorHAnsi" w:hAnsi="Times New Roman" w:cs="Times New Roman"/>
          <w:color w:val="auto"/>
          <w:szCs w:val="24"/>
          <w:lang w:eastAsia="en-US"/>
          <w14:ligatures w14:val="standardContextual"/>
        </w:rPr>
      </w:pPr>
      <w:r w:rsidRPr="00E63B5C">
        <w:rPr>
          <w:rFonts w:ascii="Times New Roman" w:eastAsiaTheme="minorHAnsi" w:hAnsi="Times New Roman" w:cs="Times New Roman"/>
          <w:color w:val="auto"/>
          <w:szCs w:val="24"/>
          <w:lang w:eastAsia="en-US"/>
          <w14:ligatures w14:val="standardContextual"/>
        </w:rPr>
        <w:t xml:space="preserve">Projektowana regulacja będzie oddziaływać nie tylko na organizatorów turystyki ale też na podróżnych, tj. strony umowy o udział w imprezie turystycznej, a także na inne grupy przedsiębiorców ściśle współpracujących z organizatorami przy realizacji imprez turystycznych tj. agentów turystycznych, pilotów i przewodników turystycznych, a także innych dostawców usług turystycznych. </w:t>
      </w:r>
    </w:p>
    <w:p w14:paraId="04C977BD" w14:textId="77777777" w:rsidR="00E63B5C" w:rsidRPr="00E63B5C" w:rsidRDefault="00E63B5C" w:rsidP="00E63B5C">
      <w:pPr>
        <w:widowControl w:val="0"/>
        <w:numPr>
          <w:ilvl w:val="0"/>
          <w:numId w:val="6"/>
        </w:numPr>
        <w:tabs>
          <w:tab w:val="left" w:pos="7230"/>
        </w:tabs>
        <w:autoSpaceDE w:val="0"/>
        <w:autoSpaceDN w:val="0"/>
        <w:adjustRightInd w:val="0"/>
        <w:spacing w:before="113" w:after="0" w:line="360" w:lineRule="auto"/>
        <w:contextualSpacing/>
        <w:rPr>
          <w:rFonts w:ascii="Times New Roman" w:eastAsiaTheme="minorHAnsi" w:hAnsi="Times New Roman" w:cs="Times New Roman"/>
          <w:color w:val="auto"/>
          <w:szCs w:val="24"/>
          <w:lang w:eastAsia="en-US"/>
          <w14:ligatures w14:val="standardContextual"/>
        </w:rPr>
      </w:pPr>
      <w:r w:rsidRPr="00E63B5C">
        <w:rPr>
          <w:rFonts w:ascii="Times New Roman" w:eastAsiaTheme="minorHAnsi" w:hAnsi="Times New Roman" w:cs="Times New Roman"/>
          <w:color w:val="auto"/>
          <w:szCs w:val="24"/>
          <w:lang w:eastAsia="en-US"/>
          <w14:ligatures w14:val="standardContextual"/>
        </w:rPr>
        <w:t>Proponowane przepisy mogą przynieść pozytywne skutki społeczne w postaci uspokojenia aktualnie panujących nastrojów oraz mogą istotnie uprościć przekaz dotyczący sytuacji prawnej podróżnych, jak i przedsiębiorców turystycznych.</w:t>
      </w:r>
    </w:p>
    <w:p w14:paraId="40035358" w14:textId="77777777" w:rsidR="00E63B5C" w:rsidRPr="00E63B5C" w:rsidRDefault="00E63B5C" w:rsidP="00E63B5C">
      <w:pPr>
        <w:widowControl w:val="0"/>
        <w:numPr>
          <w:ilvl w:val="0"/>
          <w:numId w:val="6"/>
        </w:numPr>
        <w:tabs>
          <w:tab w:val="left" w:pos="7230"/>
        </w:tabs>
        <w:autoSpaceDE w:val="0"/>
        <w:autoSpaceDN w:val="0"/>
        <w:adjustRightInd w:val="0"/>
        <w:spacing w:before="113" w:after="0" w:line="360" w:lineRule="auto"/>
        <w:contextualSpacing/>
        <w:rPr>
          <w:rFonts w:ascii="Times New Roman" w:eastAsiaTheme="minorHAnsi" w:hAnsi="Times New Roman" w:cs="Times New Roman"/>
          <w:color w:val="auto"/>
          <w:szCs w:val="24"/>
          <w:lang w:eastAsia="en-US"/>
          <w14:ligatures w14:val="standardContextual"/>
        </w:rPr>
      </w:pPr>
      <w:r w:rsidRPr="00E63B5C">
        <w:rPr>
          <w:rFonts w:ascii="Times New Roman" w:eastAsiaTheme="minorHAnsi" w:hAnsi="Times New Roman" w:cs="Times New Roman"/>
          <w:color w:val="auto"/>
          <w:szCs w:val="24"/>
          <w:lang w:eastAsia="en-US"/>
          <w14:ligatures w14:val="standardContextual"/>
        </w:rPr>
        <w:t>Odłożenie w czasie realizacji imprezy turystycznej może także stworzyć warunki dla podróżnych, do realizacji podróży, co do zasady, w pierwotnie zakładanej destynacji.</w:t>
      </w:r>
    </w:p>
    <w:p w14:paraId="5AA12DF6" w14:textId="77777777" w:rsidR="00E63B5C" w:rsidRPr="00E63B5C" w:rsidRDefault="00E63B5C" w:rsidP="00E63B5C">
      <w:pPr>
        <w:spacing w:after="120" w:line="360" w:lineRule="auto"/>
        <w:ind w:left="0" w:firstLine="0"/>
        <w:rPr>
          <w:rFonts w:ascii="Arial" w:eastAsiaTheme="minorHAnsi" w:hAnsi="Arial" w:cs="Arial"/>
          <w:color w:val="auto"/>
          <w:kern w:val="2"/>
          <w:szCs w:val="24"/>
          <w:lang w:eastAsia="en-US"/>
          <w14:ligatures w14:val="standardContextual"/>
        </w:rPr>
      </w:pPr>
    </w:p>
    <w:p w14:paraId="746D0BC8" w14:textId="77777777" w:rsidR="00E63B5C" w:rsidRPr="00E63B5C" w:rsidRDefault="00E63B5C" w:rsidP="00E63B5C">
      <w:pPr>
        <w:spacing w:after="120" w:line="360" w:lineRule="auto"/>
        <w:ind w:left="0" w:firstLine="0"/>
        <w:rPr>
          <w:rFonts w:ascii="Times New Roman" w:eastAsia="Aptos" w:hAnsi="Times New Roman" w:cs="Times New Roman"/>
          <w:b/>
          <w:bCs/>
          <w:kern w:val="2"/>
          <w:szCs w:val="24"/>
          <w:lang w:eastAsia="en-US"/>
          <w14:ligatures w14:val="standardContextual"/>
        </w:rPr>
      </w:pPr>
      <w:r w:rsidRPr="00E63B5C">
        <w:rPr>
          <w:rFonts w:ascii="Times New Roman" w:eastAsia="Aptos" w:hAnsi="Times New Roman" w:cs="Times New Roman"/>
          <w:b/>
          <w:bCs/>
          <w:kern w:val="2"/>
          <w:szCs w:val="24"/>
          <w:lang w:eastAsia="en-US"/>
          <w14:ligatures w14:val="standardContextual"/>
        </w:rPr>
        <w:t>Skutki gospodarcze:</w:t>
      </w:r>
    </w:p>
    <w:p w14:paraId="1669FA8F" w14:textId="77777777" w:rsidR="00E63B5C" w:rsidRPr="00E63B5C" w:rsidRDefault="00E63B5C" w:rsidP="00E63B5C">
      <w:pPr>
        <w:widowControl w:val="0"/>
        <w:numPr>
          <w:ilvl w:val="0"/>
          <w:numId w:val="7"/>
        </w:numPr>
        <w:autoSpaceDE w:val="0"/>
        <w:autoSpaceDN w:val="0"/>
        <w:adjustRightInd w:val="0"/>
        <w:spacing w:before="113" w:after="120" w:line="360" w:lineRule="auto"/>
        <w:contextualSpacing/>
        <w:rPr>
          <w:rFonts w:ascii="Times New Roman" w:eastAsia="Aptos" w:hAnsi="Times New Roman" w:cs="Times New Roman"/>
          <w:bCs/>
          <w:color w:val="auto"/>
          <w:kern w:val="2"/>
          <w:szCs w:val="24"/>
          <w:lang w:eastAsia="en-US"/>
          <w14:ligatures w14:val="standardContextual"/>
        </w:rPr>
      </w:pPr>
      <w:r w:rsidRPr="00E63B5C">
        <w:rPr>
          <w:rFonts w:ascii="Times New Roman" w:eastAsia="Aptos" w:hAnsi="Times New Roman" w:cs="Times New Roman"/>
          <w:bCs/>
          <w:color w:val="auto"/>
          <w:kern w:val="2"/>
          <w:szCs w:val="24"/>
          <w:lang w:eastAsia="en-US"/>
          <w14:ligatures w14:val="standardContextual"/>
        </w:rPr>
        <w:t xml:space="preserve">Spodziewanym skutkiem gospodarczym planowanej regulacji ma być przede wszystkim utrzymanie płynności finansowej organizatorów turystyki, a także pośrednio płynności finansowej innych przedsiębiorców turystycznych oraz innych dostawców usług turystycznych. </w:t>
      </w:r>
    </w:p>
    <w:p w14:paraId="7ABE0002" w14:textId="77777777" w:rsidR="00E63B5C" w:rsidRPr="00E63B5C" w:rsidRDefault="00E63B5C" w:rsidP="00E63B5C">
      <w:pPr>
        <w:widowControl w:val="0"/>
        <w:numPr>
          <w:ilvl w:val="0"/>
          <w:numId w:val="7"/>
        </w:numPr>
        <w:autoSpaceDE w:val="0"/>
        <w:autoSpaceDN w:val="0"/>
        <w:adjustRightInd w:val="0"/>
        <w:spacing w:before="113" w:after="120" w:line="360" w:lineRule="auto"/>
        <w:contextualSpacing/>
        <w:rPr>
          <w:rFonts w:ascii="Times New Roman" w:eastAsia="Aptos" w:hAnsi="Times New Roman" w:cs="Times New Roman"/>
          <w:bCs/>
          <w:color w:val="auto"/>
          <w:kern w:val="2"/>
          <w:szCs w:val="24"/>
          <w:lang w:eastAsia="en-US"/>
          <w14:ligatures w14:val="standardContextual"/>
        </w:rPr>
      </w:pPr>
      <w:r w:rsidRPr="00E63B5C">
        <w:rPr>
          <w:rFonts w:ascii="Times New Roman" w:eastAsia="Aptos" w:hAnsi="Times New Roman" w:cs="Times New Roman"/>
          <w:bCs/>
          <w:color w:val="auto"/>
          <w:kern w:val="2"/>
          <w:szCs w:val="24"/>
          <w:lang w:eastAsia="en-US"/>
          <w14:ligatures w14:val="standardContextual"/>
        </w:rPr>
        <w:t>Utrzymanie obecnej kondycji finansowej organizatorów turystyki, to także możliwość utrzymania zatrudnienia, w sektorze usług turystycznych  na dotychczasowym, wysokim poziomie.</w:t>
      </w:r>
    </w:p>
    <w:p w14:paraId="6613588A" w14:textId="77777777" w:rsidR="00E63B5C" w:rsidRPr="00E63B5C" w:rsidRDefault="00E63B5C" w:rsidP="00E63B5C">
      <w:pPr>
        <w:widowControl w:val="0"/>
        <w:numPr>
          <w:ilvl w:val="0"/>
          <w:numId w:val="7"/>
        </w:numPr>
        <w:autoSpaceDE w:val="0"/>
        <w:autoSpaceDN w:val="0"/>
        <w:adjustRightInd w:val="0"/>
        <w:spacing w:before="113" w:after="120" w:line="360" w:lineRule="auto"/>
        <w:contextualSpacing/>
        <w:rPr>
          <w:rFonts w:ascii="Times New Roman" w:eastAsia="Aptos" w:hAnsi="Times New Roman" w:cs="Times New Roman"/>
          <w:bCs/>
          <w:color w:val="auto"/>
          <w:kern w:val="2"/>
          <w:szCs w:val="24"/>
          <w:lang w:eastAsia="en-US"/>
          <w14:ligatures w14:val="standardContextual"/>
        </w:rPr>
      </w:pPr>
      <w:r w:rsidRPr="00E63B5C">
        <w:rPr>
          <w:rFonts w:ascii="Times New Roman" w:eastAsia="Aptos" w:hAnsi="Times New Roman" w:cs="Times New Roman"/>
          <w:bCs/>
          <w:color w:val="auto"/>
          <w:kern w:val="2"/>
          <w:szCs w:val="24"/>
          <w:lang w:eastAsia="en-US"/>
          <w14:ligatures w14:val="standardContextual"/>
        </w:rPr>
        <w:t>Skutkiem dalekosiężnym projektowanych regulacji ma być natomiast ograniczenie ewentualnych niewypłacalności, szczególnie w grupie małych organizatorów turystyki.</w:t>
      </w:r>
    </w:p>
    <w:p w14:paraId="0F38A43E" w14:textId="77777777" w:rsidR="00E63B5C" w:rsidRPr="00E63B5C" w:rsidRDefault="00E63B5C" w:rsidP="00E63B5C">
      <w:pPr>
        <w:widowControl w:val="0"/>
        <w:autoSpaceDE w:val="0"/>
        <w:autoSpaceDN w:val="0"/>
        <w:adjustRightInd w:val="0"/>
        <w:spacing w:before="113" w:after="120" w:line="360" w:lineRule="auto"/>
        <w:ind w:left="720" w:firstLine="0"/>
        <w:contextualSpacing/>
        <w:rPr>
          <w:rFonts w:ascii="Times New Roman" w:eastAsia="Aptos" w:hAnsi="Times New Roman" w:cs="Times New Roman"/>
          <w:bCs/>
          <w:color w:val="auto"/>
          <w:kern w:val="2"/>
          <w:szCs w:val="24"/>
          <w:lang w:eastAsia="en-US"/>
          <w14:ligatures w14:val="standardContextual"/>
        </w:rPr>
      </w:pPr>
      <w:r w:rsidRPr="00E63B5C">
        <w:rPr>
          <w:rFonts w:ascii="Times New Roman" w:eastAsia="Aptos" w:hAnsi="Times New Roman" w:cs="Times New Roman"/>
          <w:bCs/>
          <w:color w:val="auto"/>
          <w:kern w:val="2"/>
          <w:szCs w:val="24"/>
          <w:lang w:eastAsia="en-US"/>
          <w14:ligatures w14:val="standardContextual"/>
        </w:rPr>
        <w:t>Dzięki wprowadzeniu w czasie epidemii Covid-19 wypłat dla podróżnych z Turystycznego Funduszu Zwrotów (prekursor TFP), oraz alternatywy w postaci przyjęcia przez podróżnego vouchera na realizację imprezy turystycznej w przyszłości, w latach newralgicznych tj. 2020-2022, liczba niewypłacalności organizatorów turystyki utrzymała się na dokładnie tym samym poziomie, jak w latach poprzedzających wybuch epidemii.</w:t>
      </w:r>
    </w:p>
    <w:p w14:paraId="0B01868A" w14:textId="77777777" w:rsidR="00E63B5C" w:rsidRPr="00E63B5C" w:rsidRDefault="00E63B5C" w:rsidP="00E63B5C">
      <w:pPr>
        <w:widowControl w:val="0"/>
        <w:autoSpaceDE w:val="0"/>
        <w:autoSpaceDN w:val="0"/>
        <w:adjustRightInd w:val="0"/>
        <w:spacing w:before="113" w:after="120" w:line="360" w:lineRule="auto"/>
        <w:ind w:left="720" w:firstLine="0"/>
        <w:contextualSpacing/>
        <w:rPr>
          <w:rFonts w:ascii="Times New Roman" w:eastAsia="Aptos" w:hAnsi="Times New Roman" w:cs="Times New Roman"/>
          <w:bCs/>
          <w:color w:val="auto"/>
          <w:kern w:val="2"/>
          <w:szCs w:val="24"/>
          <w:lang w:eastAsia="en-US"/>
          <w14:ligatures w14:val="standardContextual"/>
        </w:rPr>
      </w:pPr>
    </w:p>
    <w:p w14:paraId="54930F75" w14:textId="77777777" w:rsidR="00E63B5C" w:rsidRPr="00E63B5C" w:rsidRDefault="00E63B5C" w:rsidP="00E63B5C">
      <w:pPr>
        <w:widowControl w:val="0"/>
        <w:autoSpaceDE w:val="0"/>
        <w:autoSpaceDN w:val="0"/>
        <w:adjustRightInd w:val="0"/>
        <w:spacing w:before="113" w:after="120" w:line="360" w:lineRule="auto"/>
        <w:ind w:left="720" w:firstLine="0"/>
        <w:contextualSpacing/>
        <w:rPr>
          <w:rFonts w:ascii="Times New Roman" w:eastAsia="Aptos" w:hAnsi="Times New Roman" w:cs="Times New Roman"/>
          <w:bCs/>
          <w:color w:val="auto"/>
          <w:kern w:val="2"/>
          <w:szCs w:val="24"/>
          <w:lang w:eastAsia="en-US"/>
          <w14:ligatures w14:val="standardContextual"/>
        </w:rPr>
      </w:pPr>
    </w:p>
    <w:p w14:paraId="28C4E59B" w14:textId="77777777" w:rsidR="00E63B5C" w:rsidRPr="00E63B5C" w:rsidRDefault="00E63B5C" w:rsidP="00E63B5C">
      <w:pPr>
        <w:tabs>
          <w:tab w:val="left" w:pos="709"/>
        </w:tabs>
        <w:spacing w:after="120" w:line="360" w:lineRule="auto"/>
        <w:ind w:left="426" w:hanging="284"/>
        <w:rPr>
          <w:rFonts w:ascii="Times New Roman" w:eastAsia="Aptos" w:hAnsi="Times New Roman" w:cs="Times New Roman"/>
          <w:b/>
          <w:bCs/>
          <w:kern w:val="2"/>
          <w:szCs w:val="24"/>
          <w:lang w:eastAsia="en-US"/>
          <w14:ligatures w14:val="standardContextual"/>
        </w:rPr>
      </w:pPr>
      <w:r w:rsidRPr="00E63B5C">
        <w:rPr>
          <w:rFonts w:ascii="Times New Roman" w:eastAsia="Aptos" w:hAnsi="Times New Roman" w:cs="Times New Roman"/>
          <w:b/>
          <w:bCs/>
          <w:kern w:val="2"/>
          <w:szCs w:val="24"/>
          <w:lang w:eastAsia="en-US"/>
          <w14:ligatures w14:val="standardContextual"/>
        </w:rPr>
        <w:t>Skutki prawne:</w:t>
      </w:r>
    </w:p>
    <w:p w14:paraId="24A92694" w14:textId="77777777" w:rsidR="00E63B5C" w:rsidRPr="00E63B5C" w:rsidRDefault="00E63B5C" w:rsidP="00E63B5C">
      <w:pPr>
        <w:widowControl w:val="0"/>
        <w:numPr>
          <w:ilvl w:val="0"/>
          <w:numId w:val="8"/>
        </w:numPr>
        <w:autoSpaceDE w:val="0"/>
        <w:autoSpaceDN w:val="0"/>
        <w:adjustRightInd w:val="0"/>
        <w:spacing w:before="113" w:after="0" w:line="360" w:lineRule="auto"/>
        <w:contextualSpacing/>
        <w:rPr>
          <w:rFonts w:ascii="Times New Roman" w:eastAsia="Times New Roman" w:hAnsi="Times New Roman" w:cs="Times New Roman"/>
          <w:color w:val="auto"/>
          <w:szCs w:val="24"/>
        </w:rPr>
      </w:pPr>
      <w:r w:rsidRPr="00E63B5C">
        <w:rPr>
          <w:rFonts w:ascii="Times New Roman" w:eastAsia="Times New Roman" w:hAnsi="Times New Roman" w:cs="Times New Roman"/>
          <w:color w:val="auto"/>
          <w:szCs w:val="24"/>
        </w:rPr>
        <w:t>Skutek prawny wprowadzenia do ustawy o imprezach turystycznych i powiązanych usługach turystycznych instytucji vouchera pod względem prawnym, oparty jest na dobrze znanej prawu cywilnemu zasady modyfikowania zobowiązań umownych jaką jest wprowadzenie zmian do pierwotnej treści umowy (aneksowanie). Jednocześnie zmiana umowy o udział w imprezie turystycznej wyrażająca się w zgodzie podróżnego na przyjęcie vouchera, będzie dodatkowo wprost chroniona zabezpieczeniami finansowymi organizatora  turystyki.</w:t>
      </w:r>
    </w:p>
    <w:p w14:paraId="0839C93F" w14:textId="77777777" w:rsidR="00E63B5C" w:rsidRPr="00E63B5C" w:rsidRDefault="00E63B5C" w:rsidP="00E63B5C">
      <w:pPr>
        <w:widowControl w:val="0"/>
        <w:numPr>
          <w:ilvl w:val="0"/>
          <w:numId w:val="8"/>
        </w:numPr>
        <w:autoSpaceDE w:val="0"/>
        <w:autoSpaceDN w:val="0"/>
        <w:adjustRightInd w:val="0"/>
        <w:spacing w:before="113" w:after="120" w:line="360" w:lineRule="auto"/>
        <w:ind w:left="709" w:hanging="284"/>
        <w:contextualSpacing/>
        <w:rPr>
          <w:rFonts w:ascii="Times New Roman" w:eastAsia="Aptos" w:hAnsi="Times New Roman" w:cs="Times New Roman"/>
          <w:b/>
          <w:bCs/>
          <w:color w:val="auto"/>
          <w:kern w:val="2"/>
          <w:sz w:val="20"/>
          <w:szCs w:val="24"/>
          <w:lang w:eastAsia="en-US"/>
          <w14:ligatures w14:val="standardContextual"/>
        </w:rPr>
      </w:pPr>
      <w:r w:rsidRPr="00E63B5C">
        <w:rPr>
          <w:rFonts w:ascii="Times New Roman" w:eastAsia="Times New Roman" w:hAnsi="Times New Roman" w:cs="Times New Roman"/>
          <w:color w:val="auto"/>
          <w:szCs w:val="24"/>
        </w:rPr>
        <w:t>Po doświadczeniach epidemii Covid-19 i wywołanego nią kryzysu na rynku usług turystycznych, na potrzebę wprowadzenia na stałe do prawa turystycznego instytucji vouchera zwróciła uwagę Komisja Europejska inicjując, między innymi w tym zakresie, rewizję dyrektywy turystycznej (2015/2302). W tym kontekście należy podkreślić</w:t>
      </w:r>
      <w:r w:rsidRPr="00E63B5C">
        <w:rPr>
          <w:rFonts w:ascii="Times New Roman" w:hAnsi="Times New Roman" w:cs="Times New Roman"/>
          <w:color w:val="auto"/>
          <w:szCs w:val="24"/>
        </w:rPr>
        <w:t xml:space="preserve">, że aktualnie zaakceptowana już przez Radę Unii Europejskiej, a także Parlament Europejski wersja kompromisowa dyrektywy zmieniającej zakłada wprowadzenie przepisów dotyczących voucherów jako stałej podstawy do wdrożenia i stosowania tego rozwiązania w państwach członkowskich UE. </w:t>
      </w:r>
    </w:p>
    <w:p w14:paraId="2BEA2252" w14:textId="77777777" w:rsidR="00E63B5C" w:rsidRPr="00E63B5C" w:rsidRDefault="00E63B5C" w:rsidP="00E63B5C">
      <w:pPr>
        <w:spacing w:after="120" w:line="360" w:lineRule="auto"/>
        <w:ind w:left="426" w:hanging="284"/>
        <w:rPr>
          <w:rFonts w:ascii="Times New Roman" w:eastAsia="Aptos" w:hAnsi="Times New Roman" w:cs="Times New Roman"/>
          <w:b/>
          <w:bCs/>
          <w:kern w:val="2"/>
          <w:szCs w:val="24"/>
          <w:lang w:eastAsia="en-US"/>
          <w14:ligatures w14:val="standardContextual"/>
        </w:rPr>
      </w:pPr>
    </w:p>
    <w:p w14:paraId="5033729D" w14:textId="77777777" w:rsidR="00E63B5C" w:rsidRPr="00E63B5C" w:rsidRDefault="00E63B5C" w:rsidP="00E63B5C">
      <w:pPr>
        <w:numPr>
          <w:ilvl w:val="0"/>
          <w:numId w:val="3"/>
        </w:numPr>
        <w:autoSpaceDN w:val="0"/>
        <w:spacing w:after="160" w:line="360" w:lineRule="auto"/>
        <w:contextualSpacing/>
        <w:rPr>
          <w:rFonts w:ascii="Times New Roman" w:eastAsia="Aptos" w:hAnsi="Times New Roman" w:cs="Times New Roman"/>
          <w:b/>
          <w:bCs/>
          <w:color w:val="auto"/>
          <w:kern w:val="2"/>
          <w:szCs w:val="24"/>
          <w:lang w:eastAsia="en-US"/>
          <w14:ligatures w14:val="standardContextual"/>
        </w:rPr>
      </w:pPr>
      <w:r w:rsidRPr="00E63B5C">
        <w:rPr>
          <w:rFonts w:ascii="Times New Roman" w:eastAsia="Aptos" w:hAnsi="Times New Roman" w:cs="Times New Roman"/>
          <w:b/>
          <w:bCs/>
          <w:kern w:val="2"/>
          <w:szCs w:val="24"/>
          <w:lang w:eastAsia="en-US"/>
          <w14:ligatures w14:val="standardContextual"/>
        </w:rPr>
        <w:t>Źródła Finansowania</w:t>
      </w:r>
    </w:p>
    <w:p w14:paraId="60C0CE2B" w14:textId="77777777" w:rsidR="00E63B5C" w:rsidRPr="00E63B5C" w:rsidRDefault="00E63B5C" w:rsidP="00E63B5C">
      <w:pPr>
        <w:spacing w:before="100" w:beforeAutospacing="1" w:after="100" w:afterAutospacing="1" w:line="360" w:lineRule="auto"/>
        <w:ind w:left="284" w:firstLine="0"/>
        <w:contextualSpacing/>
        <w:rPr>
          <w:rFonts w:ascii="Times New Roman" w:eastAsia="Aptos" w:hAnsi="Times New Roman" w:cs="Times New Roman"/>
          <w:b/>
          <w:bCs/>
          <w:color w:val="auto"/>
          <w:kern w:val="2"/>
          <w:szCs w:val="24"/>
          <w:lang w:eastAsia="en-US"/>
          <w14:ligatures w14:val="standardContextual"/>
        </w:rPr>
      </w:pPr>
      <w:r w:rsidRPr="00E63B5C">
        <w:rPr>
          <w:rFonts w:ascii="Times New Roman" w:eastAsia="Times New Roman" w:hAnsi="Times New Roman" w:cs="Times New Roman"/>
          <w:szCs w:val="24"/>
        </w:rPr>
        <w:t>Realizacja ustawy nie wymaga finansowana z budżetu państwa ani finansowania z budżetu jednostek samorządu terytorialnego.</w:t>
      </w:r>
    </w:p>
    <w:p w14:paraId="5FB23F5B" w14:textId="77777777" w:rsidR="00E63B5C" w:rsidRPr="00E63B5C" w:rsidRDefault="00E63B5C" w:rsidP="00E63B5C">
      <w:pPr>
        <w:spacing w:before="100" w:beforeAutospacing="1" w:after="100" w:afterAutospacing="1" w:line="360" w:lineRule="auto"/>
        <w:ind w:left="720"/>
        <w:contextualSpacing/>
        <w:rPr>
          <w:rFonts w:ascii="Times New Roman" w:eastAsia="Times New Roman" w:hAnsi="Times New Roman" w:cs="Times New Roman"/>
          <w:color w:val="auto"/>
          <w:szCs w:val="24"/>
        </w:rPr>
      </w:pPr>
    </w:p>
    <w:p w14:paraId="543569F0" w14:textId="77777777" w:rsidR="00E63B5C" w:rsidRPr="00E63B5C" w:rsidRDefault="00E63B5C" w:rsidP="00E63B5C">
      <w:pPr>
        <w:numPr>
          <w:ilvl w:val="0"/>
          <w:numId w:val="4"/>
        </w:numPr>
        <w:autoSpaceDN w:val="0"/>
        <w:spacing w:before="100" w:beforeAutospacing="1" w:after="100" w:afterAutospacing="1" w:line="360" w:lineRule="auto"/>
        <w:contextualSpacing/>
        <w:rPr>
          <w:rFonts w:ascii="Times New Roman" w:eastAsia="Times New Roman" w:hAnsi="Times New Roman" w:cs="Times New Roman"/>
          <w:b/>
          <w:bCs/>
          <w:szCs w:val="24"/>
        </w:rPr>
      </w:pPr>
      <w:r w:rsidRPr="00E63B5C">
        <w:rPr>
          <w:rFonts w:ascii="Times New Roman" w:eastAsia="Times New Roman" w:hAnsi="Times New Roman" w:cs="Times New Roman"/>
          <w:b/>
          <w:bCs/>
          <w:szCs w:val="24"/>
        </w:rPr>
        <w:t>Założenia projektów podstawowych aktów wykonawczych</w:t>
      </w:r>
    </w:p>
    <w:p w14:paraId="202DFAE6" w14:textId="77777777" w:rsidR="00E63B5C" w:rsidRPr="00E63B5C" w:rsidRDefault="00E63B5C" w:rsidP="00E63B5C">
      <w:pPr>
        <w:spacing w:after="120" w:line="360" w:lineRule="auto"/>
        <w:ind w:firstLine="0"/>
        <w:rPr>
          <w:rFonts w:ascii="Times New Roman" w:eastAsia="Times New Roman" w:hAnsi="Times New Roman" w:cs="Times New Roman"/>
          <w:szCs w:val="24"/>
        </w:rPr>
      </w:pPr>
      <w:r w:rsidRPr="00E63B5C">
        <w:rPr>
          <w:rFonts w:ascii="Times New Roman" w:eastAsia="Times New Roman" w:hAnsi="Times New Roman" w:cs="Times New Roman"/>
          <w:szCs w:val="24"/>
        </w:rPr>
        <w:t xml:space="preserve">     Projekt ustawy nie przewiduje wydawania aktów wykonawczych.</w:t>
      </w:r>
    </w:p>
    <w:p w14:paraId="1EFF13D0" w14:textId="77777777" w:rsidR="00E63B5C" w:rsidRPr="00E63B5C" w:rsidRDefault="00E63B5C" w:rsidP="00E63B5C">
      <w:pPr>
        <w:numPr>
          <w:ilvl w:val="0"/>
          <w:numId w:val="4"/>
        </w:numPr>
        <w:autoSpaceDN w:val="0"/>
        <w:spacing w:before="100" w:beforeAutospacing="1" w:after="100" w:afterAutospacing="1" w:line="240" w:lineRule="auto"/>
        <w:contextualSpacing/>
        <w:rPr>
          <w:rFonts w:ascii="Times New Roman" w:eastAsia="Times New Roman" w:hAnsi="Times New Roman" w:cs="Times New Roman"/>
          <w:b/>
          <w:bCs/>
          <w:color w:val="auto"/>
          <w:szCs w:val="24"/>
        </w:rPr>
      </w:pPr>
      <w:r w:rsidRPr="00E63B5C">
        <w:rPr>
          <w:rFonts w:ascii="Times New Roman" w:eastAsia="Times New Roman" w:hAnsi="Times New Roman" w:cs="Times New Roman"/>
          <w:b/>
          <w:bCs/>
          <w:color w:val="auto"/>
          <w:szCs w:val="24"/>
        </w:rPr>
        <w:t>Oświadczenie o zgodności projektu ustawy z prawem Unii Europejskiej</w:t>
      </w:r>
    </w:p>
    <w:p w14:paraId="3AA7C644" w14:textId="77777777" w:rsidR="00E63B5C" w:rsidRPr="00E63B5C" w:rsidRDefault="00E63B5C" w:rsidP="00E63B5C">
      <w:pPr>
        <w:spacing w:after="120" w:line="360" w:lineRule="auto"/>
        <w:ind w:firstLine="0"/>
        <w:rPr>
          <w:rFonts w:ascii="Times New Roman" w:eastAsia="Aptos" w:hAnsi="Times New Roman" w:cs="Times New Roman"/>
          <w:b/>
          <w:bCs/>
          <w:kern w:val="2"/>
          <w:szCs w:val="24"/>
          <w:lang w:eastAsia="en-US"/>
          <w14:ligatures w14:val="standardContextual"/>
        </w:rPr>
      </w:pPr>
      <w:r w:rsidRPr="00E63B5C">
        <w:rPr>
          <w:rFonts w:ascii="Times New Roman" w:eastAsia="Times New Roman" w:hAnsi="Times New Roman" w:cs="Times New Roman"/>
          <w:szCs w:val="24"/>
        </w:rPr>
        <w:t xml:space="preserve">     Projekt ustawy pozostaje w pełnej zgodności z przepisami prawa Unii Europejskiej</w:t>
      </w:r>
    </w:p>
    <w:p w14:paraId="516DDEEA" w14:textId="77777777" w:rsidR="00DD680F" w:rsidRPr="007D0ED3" w:rsidRDefault="00DD680F" w:rsidP="00DD680F">
      <w:pPr>
        <w:rPr>
          <w:rFonts w:ascii="Times New Roman" w:hAnsi="Times New Roman" w:cs="Times New Roman"/>
        </w:rPr>
      </w:pPr>
    </w:p>
    <w:sectPr w:rsidR="00DD680F" w:rsidRPr="007D0ED3">
      <w:footerReference w:type="default" r:id="rId7"/>
      <w:pgSz w:w="11904" w:h="16838"/>
      <w:pgMar w:top="1467" w:right="1414" w:bottom="1626"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37CB" w14:textId="77777777" w:rsidR="00F05E2C" w:rsidRDefault="00F05E2C" w:rsidP="0020231D">
      <w:pPr>
        <w:spacing w:after="0" w:line="240" w:lineRule="auto"/>
      </w:pPr>
      <w:r>
        <w:separator/>
      </w:r>
    </w:p>
  </w:endnote>
  <w:endnote w:type="continuationSeparator" w:id="0">
    <w:p w14:paraId="4658B6B2" w14:textId="77777777" w:rsidR="00F05E2C" w:rsidRDefault="00F05E2C" w:rsidP="00202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112338"/>
      <w:docPartObj>
        <w:docPartGallery w:val="Page Numbers (Bottom of Page)"/>
        <w:docPartUnique/>
      </w:docPartObj>
    </w:sdtPr>
    <w:sdtContent>
      <w:p w14:paraId="6FEF5B8F" w14:textId="77777777" w:rsidR="0020231D" w:rsidRDefault="0020231D">
        <w:pPr>
          <w:pStyle w:val="Stopka"/>
          <w:jc w:val="center"/>
        </w:pPr>
        <w:r>
          <w:fldChar w:fldCharType="begin"/>
        </w:r>
        <w:r>
          <w:instrText>PAGE   \* MERGEFORMAT</w:instrText>
        </w:r>
        <w:r>
          <w:fldChar w:fldCharType="separate"/>
        </w:r>
        <w:r>
          <w:t>2</w:t>
        </w:r>
        <w:r>
          <w:fldChar w:fldCharType="end"/>
        </w:r>
      </w:p>
    </w:sdtContent>
  </w:sdt>
  <w:p w14:paraId="4C9873EF" w14:textId="77777777" w:rsidR="0020231D" w:rsidRDefault="002023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E0D5" w14:textId="77777777" w:rsidR="00F05E2C" w:rsidRDefault="00F05E2C" w:rsidP="0020231D">
      <w:pPr>
        <w:spacing w:after="0" w:line="240" w:lineRule="auto"/>
      </w:pPr>
      <w:r>
        <w:separator/>
      </w:r>
    </w:p>
  </w:footnote>
  <w:footnote w:type="continuationSeparator" w:id="0">
    <w:p w14:paraId="33C2CE55" w14:textId="77777777" w:rsidR="00F05E2C" w:rsidRDefault="00F05E2C" w:rsidP="00202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55CA"/>
    <w:multiLevelType w:val="hybridMultilevel"/>
    <w:tmpl w:val="8EE0C478"/>
    <w:lvl w:ilvl="0" w:tplc="A33A65B2">
      <w:start w:val="1"/>
      <w:numFmt w:val="decimal"/>
      <w:lvlText w:val="%1."/>
      <w:lvlJc w:val="left"/>
      <w:pPr>
        <w:ind w:left="10"/>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EC7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4085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483A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9604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EE9D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88AC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7CA3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BC2C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E70F9"/>
    <w:multiLevelType w:val="hybridMultilevel"/>
    <w:tmpl w:val="4CD6FEB2"/>
    <w:lvl w:ilvl="0" w:tplc="923EEA10">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B13F34"/>
    <w:multiLevelType w:val="hybridMultilevel"/>
    <w:tmpl w:val="0B2C044E"/>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47083E1A"/>
    <w:multiLevelType w:val="hybridMultilevel"/>
    <w:tmpl w:val="37FE6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0D68A5"/>
    <w:multiLevelType w:val="hybridMultilevel"/>
    <w:tmpl w:val="A27E2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5B6EBA"/>
    <w:multiLevelType w:val="hybridMultilevel"/>
    <w:tmpl w:val="59B4A7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981553A"/>
    <w:multiLevelType w:val="hybridMultilevel"/>
    <w:tmpl w:val="91EEC6E0"/>
    <w:lvl w:ilvl="0" w:tplc="931E6B04">
      <w:start w:val="5"/>
      <w:numFmt w:val="upperRoman"/>
      <w:lvlText w:val="%1."/>
      <w:lvlJc w:val="righ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C856FDF"/>
    <w:multiLevelType w:val="hybridMultilevel"/>
    <w:tmpl w:val="1EC01A9A"/>
    <w:lvl w:ilvl="0" w:tplc="C9A8DFF8">
      <w:start w:val="6"/>
      <w:numFmt w:val="upperRoman"/>
      <w:lvlText w:val="%1."/>
      <w:lvlJc w:val="righ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8120EE4"/>
    <w:multiLevelType w:val="hybridMultilevel"/>
    <w:tmpl w:val="AC56D06C"/>
    <w:lvl w:ilvl="0" w:tplc="C8C26798">
      <w:start w:val="2"/>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num w:numId="1" w16cid:durableId="947154094">
    <w:abstractNumId w:val="0"/>
  </w:num>
  <w:num w:numId="2" w16cid:durableId="1119570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21908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213816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550783">
    <w:abstractNumId w:val="1"/>
  </w:num>
  <w:num w:numId="6" w16cid:durableId="1264261619">
    <w:abstractNumId w:val="3"/>
  </w:num>
  <w:num w:numId="7" w16cid:durableId="1747412776">
    <w:abstractNumId w:val="4"/>
  </w:num>
  <w:num w:numId="8" w16cid:durableId="1609775226">
    <w:abstractNumId w:val="5"/>
  </w:num>
  <w:num w:numId="9" w16cid:durableId="2046714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82"/>
    <w:rsid w:val="00061CAC"/>
    <w:rsid w:val="00094282"/>
    <w:rsid w:val="0020231D"/>
    <w:rsid w:val="005B2029"/>
    <w:rsid w:val="007D0ED3"/>
    <w:rsid w:val="007E4276"/>
    <w:rsid w:val="008450BC"/>
    <w:rsid w:val="00847CCE"/>
    <w:rsid w:val="00853F5D"/>
    <w:rsid w:val="00C24380"/>
    <w:rsid w:val="00C72E1E"/>
    <w:rsid w:val="00DD680F"/>
    <w:rsid w:val="00DE26D0"/>
    <w:rsid w:val="00E63B5C"/>
    <w:rsid w:val="00F05E2C"/>
    <w:rsid w:val="00FC1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5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70" w:line="269" w:lineRule="auto"/>
      <w:ind w:left="10" w:hanging="10"/>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DD680F"/>
    <w:pPr>
      <w:suppressAutoHyphens/>
      <w:autoSpaceDE w:val="0"/>
      <w:autoSpaceDN w:val="0"/>
      <w:adjustRightInd w:val="0"/>
      <w:spacing w:before="120" w:after="0" w:line="360" w:lineRule="auto"/>
      <w:ind w:firstLine="510"/>
      <w:jc w:val="both"/>
    </w:pPr>
    <w:rPr>
      <w:rFonts w:ascii="Times" w:hAnsi="Times" w:cs="Arial"/>
      <w:sz w:val="24"/>
      <w:szCs w:val="20"/>
    </w:rPr>
  </w:style>
  <w:style w:type="character" w:customStyle="1" w:styleId="Ppogrubienie">
    <w:name w:val="_P_ – pogrubienie"/>
    <w:basedOn w:val="Domylnaczcionkaakapitu"/>
    <w:uiPriority w:val="1"/>
    <w:qFormat/>
    <w:rsid w:val="00DD680F"/>
    <w:rPr>
      <w:b/>
      <w:bCs w:val="0"/>
    </w:rPr>
  </w:style>
  <w:style w:type="paragraph" w:styleId="Akapitzlist">
    <w:name w:val="List Paragraph"/>
    <w:basedOn w:val="Normalny"/>
    <w:uiPriority w:val="34"/>
    <w:qFormat/>
    <w:rsid w:val="00DD680F"/>
    <w:pPr>
      <w:ind w:left="720"/>
      <w:contextualSpacing/>
    </w:pPr>
  </w:style>
  <w:style w:type="paragraph" w:styleId="Nagwek">
    <w:name w:val="header"/>
    <w:basedOn w:val="Normalny"/>
    <w:link w:val="NagwekZnak"/>
    <w:uiPriority w:val="99"/>
    <w:unhideWhenUsed/>
    <w:rsid w:val="002023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231D"/>
    <w:rPr>
      <w:rFonts w:ascii="Calibri" w:eastAsia="Calibri" w:hAnsi="Calibri" w:cs="Calibri"/>
      <w:color w:val="000000"/>
      <w:sz w:val="24"/>
    </w:rPr>
  </w:style>
  <w:style w:type="paragraph" w:styleId="Stopka">
    <w:name w:val="footer"/>
    <w:basedOn w:val="Normalny"/>
    <w:link w:val="StopkaZnak"/>
    <w:uiPriority w:val="99"/>
    <w:unhideWhenUsed/>
    <w:rsid w:val="002023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231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6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11027</Characters>
  <Application>Microsoft Office Word</Application>
  <DocSecurity>0</DocSecurity>
  <Lines>91</Lines>
  <Paragraphs>25</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2026-04-14T09:04:00Z</dcterms:created>
  <dcterms:modified xsi:type="dcterms:W3CDTF">2026-04-14T09:04:00Z</dcterms:modified>
</cp:coreProperties>
</file>